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DBCC0">
      <w:pPr>
        <w:snapToGrid w:val="0"/>
        <w:spacing w:line="400" w:lineRule="exact"/>
        <w:outlineLvl w:val="0"/>
        <w:rPr>
          <w:rFonts w:ascii="黑体" w:hAnsi="黑体" w:eastAsia="黑体"/>
          <w:bCs/>
          <w:sz w:val="28"/>
          <w:szCs w:val="28"/>
        </w:rPr>
      </w:pPr>
      <w:r>
        <w:rPr>
          <w:rFonts w:hint="eastAsia" w:ascii="黑体" w:hAnsi="黑体" w:eastAsia="黑体"/>
          <w:bCs/>
          <w:sz w:val="28"/>
          <w:szCs w:val="28"/>
        </w:rPr>
        <w:t>附件1：</w:t>
      </w:r>
    </w:p>
    <w:p w14:paraId="5813206B">
      <w:pPr>
        <w:snapToGrid w:val="0"/>
        <w:spacing w:line="520" w:lineRule="exact"/>
        <w:ind w:firstLine="880" w:firstLineChars="200"/>
        <w:jc w:val="center"/>
        <w:outlineLvl w:val="0"/>
        <w:rPr>
          <w:rFonts w:ascii="黑体" w:hAnsi="黑体" w:eastAsia="黑体"/>
          <w:bCs/>
          <w:sz w:val="44"/>
          <w:szCs w:val="44"/>
        </w:rPr>
      </w:pPr>
      <w:r>
        <w:rPr>
          <w:rFonts w:hint="eastAsia" w:ascii="黑体" w:hAnsi="黑体" w:eastAsia="黑体"/>
          <w:bCs/>
          <w:sz w:val="44"/>
          <w:szCs w:val="44"/>
        </w:rPr>
        <w:t>用户需求书</w:t>
      </w:r>
    </w:p>
    <w:p w14:paraId="42A8FC73">
      <w:pPr>
        <w:snapToGrid w:val="0"/>
        <w:spacing w:line="460" w:lineRule="exact"/>
        <w:ind w:firstLine="562" w:firstLineChars="200"/>
        <w:rPr>
          <w:rFonts w:ascii="宋体"/>
          <w:b/>
          <w:bCs/>
          <w:sz w:val="28"/>
          <w:szCs w:val="28"/>
        </w:rPr>
      </w:pPr>
      <w:r>
        <w:rPr>
          <w:rFonts w:hint="eastAsia" w:ascii="宋体"/>
          <w:b/>
          <w:bCs/>
          <w:sz w:val="28"/>
          <w:szCs w:val="28"/>
        </w:rPr>
        <w:t>一、说明：</w:t>
      </w:r>
    </w:p>
    <w:p w14:paraId="19028270">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1.供应商须对同一采购项目包组为单位的货物及服务进行整体响应，任何只对包组内其中一部分内容进行的响应都被视为无效。</w:t>
      </w:r>
    </w:p>
    <w:p w14:paraId="6B14DBFE">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2.采购项目技术规格、参数及要求：</w:t>
      </w:r>
    </w:p>
    <w:p w14:paraId="06A267D4">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（1）调查平台可以实时查看填写ip等信息，保证数据的真实有效。（提供查看界面截图并加盖供应商公章）</w:t>
      </w:r>
    </w:p>
    <w:p w14:paraId="4612E326">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（2）提供全国对比数据。（提供相关出版物或者其他研究成果截图并加盖供应商公章）</w:t>
      </w:r>
    </w:p>
    <w:p w14:paraId="5B527FD7">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（3）部分核心数据需要提供全国师范和非师范数据对比（提供相关出版物或者其他研究成果截图并加盖供应商公章）。</w:t>
      </w:r>
    </w:p>
    <w:p w14:paraId="2DD12FC3">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（4）提供我校近三年毕业生主要指标数据对比分析（提供相关截图证明）。</w:t>
      </w:r>
    </w:p>
    <w:p w14:paraId="6A6E57F8">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5）产业需求分析：支持学校查看产业链下的上中下游的各个环节，以及产业的分布情况。基于大数据智能匹配产业下的热门岗位，生成岗位能力画像。支持学校查看产业下的企业数据。（提供相关截图证明）。</w:t>
      </w:r>
    </w:p>
    <w:p w14:paraId="0F5DDDA0">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（6）专业社会需求分析：支持适配岗位分析和适配企业分析。（提供相关截图证明）。</w:t>
      </w:r>
    </w:p>
    <w:p w14:paraId="55107269">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7）专业供需适配度监测与预警：建立供需适配模型，辅助学校进行专业优化与资源配置；支持产业适配分析：根据学生实际流向企业与目标产业企业进行对比，评估专业服务产业能力；支持岗位能力适配分析：对比毕业生能力结构与岗位能力要求，识别适配度高/低的专业，结合大数据分析和AI给出建议；支持规模适配分析：量化某专业人才输出与社会岗位需求的比例，提供冗余/紧缺预警；支持供需适配度报告：生成图表与报告，辅助高校开展专业评估与动态优化。（提供相关截图证明）。</w:t>
      </w:r>
    </w:p>
    <w:p w14:paraId="40D4960F">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8）就业胜任力监测与分析：通过就业胜任力评测帮助学生建立良好的自我认知，同时让学校掌握学生的能力素质情况，为学校提供数据支撑；让学生认识到社会上有什么样的职业，每个职业需要什么样的能力。通过职业画像的构建，为老师提供知识库，提升老师的专业性和就业指导能力。（提供相关截图证明）。</w:t>
      </w:r>
    </w:p>
    <w:p w14:paraId="2ED29952">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9）支持职业社会认知库：建立的职业画像数据库，详解每一职业的职责内容、能力要求、发展路径、岗位分布、薪酬走势等；汇聚真实企业需求数据，展示学历/经验/岗位要求结构，帮助学生判断自身匹配度。（提供相关截图证明）。</w:t>
      </w:r>
    </w:p>
    <w:p w14:paraId="16C90963">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（10）支持就招培联动：平台结合各群体的调研数据，通过监测平台反馈学校各专业的招生优化和培养工作改进。（提供相关截图证明）。</w:t>
      </w:r>
    </w:p>
    <w:p w14:paraId="7EBA0A11">
      <w:pPr>
        <w:spacing w:line="460" w:lineRule="exact"/>
        <w:ind w:firstLine="562" w:firstLineChars="200"/>
        <w:rPr>
          <w:rFonts w:ascii="宋体" w:hAnsi="宋体"/>
          <w:b/>
          <w:sz w:val="28"/>
          <w:szCs w:val="28"/>
        </w:rPr>
      </w:pPr>
      <w:r>
        <w:rPr>
          <w:rFonts w:hint="eastAsia" w:ascii="宋体" w:hAnsi="宋体"/>
          <w:b/>
          <w:sz w:val="28"/>
          <w:szCs w:val="28"/>
        </w:rPr>
        <w:t>二、商务要求</w:t>
      </w:r>
    </w:p>
    <w:p w14:paraId="73EA7191">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1.经验要求：近3年内为高校提供过相关项目服务，提供相关证明材料加盖投标人公章。</w:t>
      </w:r>
    </w:p>
    <w:p w14:paraId="6A3BF7DD">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2.报价要求：报价包含项目落实过程中的一切费用，超出预算总价为无效报价。</w:t>
      </w:r>
    </w:p>
    <w:p w14:paraId="240FB50D">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3.完工期：</w:t>
      </w:r>
    </w:p>
    <w:p w14:paraId="7E3F93A7">
      <w:pPr>
        <w:tabs>
          <w:tab w:val="left" w:pos="426"/>
        </w:tabs>
        <w:autoSpaceDE w:val="0"/>
        <w:autoSpaceDN w:val="0"/>
        <w:adjustRightInd w:val="0"/>
        <w:snapToGrid w:val="0"/>
        <w:spacing w:line="460" w:lineRule="exact"/>
        <w:ind w:firstLine="560" w:firstLineChars="200"/>
        <w:jc w:val="left"/>
        <w:rPr>
          <w:rFonts w:hint="default"/>
          <w:sz w:val="28"/>
          <w:szCs w:val="28"/>
          <w:lang w:val="en-US" w:eastAsia="zh-CN"/>
        </w:rPr>
      </w:pPr>
      <w:r>
        <w:rPr>
          <w:rFonts w:hint="eastAsia"/>
          <w:sz w:val="28"/>
          <w:szCs w:val="28"/>
          <w:lang w:val="en-US" w:eastAsia="zh-CN"/>
        </w:rPr>
        <w:t>（1）2026届毕业生跟踪评价项目拟于毕业生毕业一年后启动，自启动之日起三个月内完成，《毕业生就业质量年度报告（含用人单位）》和《毕业生就业质量跟踪调查报告》，提供电子版报告，调研原始数据和彩色纸质报告20本，黑白纸质报告100本。人才供需适配报告在10月30日之前完成，提交彩色报告15本。</w:t>
      </w:r>
    </w:p>
    <w:p w14:paraId="6DD3578C">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（2）按协议的约定出具项目研究报告，并对项目过程和报告结果负全部责任。</w:t>
      </w:r>
    </w:p>
    <w:p w14:paraId="096AD4EF">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（3）校方拥有毕业生跟踪调查整理后的数据库使用权，未经校方许，不得向任何第三方提供或公布由校方提供的学生联系方式或涉及校方名义的数据指标与分析报告。</w:t>
      </w:r>
    </w:p>
    <w:p w14:paraId="73EDD9EF">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（4）调研结束后在三个工作日内将调查原始数据返还给校方，可供校方检验。供应商对数据的真实性和保密性负责。</w:t>
      </w:r>
    </w:p>
    <w:p w14:paraId="67A7B95F">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（5）在调研结束后免费安排研究院的专家到校解读。</w:t>
      </w:r>
    </w:p>
    <w:p w14:paraId="03D1B649">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5.质保期（服务期）：自合同签订之日起1年。</w:t>
      </w:r>
    </w:p>
    <w:p w14:paraId="3D7D369B">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6.验收要求：符合附件要求的报告大纲（大纲可以根据政策要求和学校要求双方进行调整和修改）</w:t>
      </w:r>
    </w:p>
    <w:p w14:paraId="1D145607">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7.售后服务：</w:t>
      </w:r>
    </w:p>
    <w:p w14:paraId="40E48E32">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主动为校方做好项目咨询服务，指定至少一名项目责任人与校方定向沟通联系，沟通事项包括项目前期与校方负责人充分沟通并记录校方对项目的具体需求、定期监控数据回收进展等。</w:t>
      </w:r>
    </w:p>
    <w:p w14:paraId="763146EF">
      <w:pPr>
        <w:tabs>
          <w:tab w:val="left" w:pos="426"/>
        </w:tabs>
        <w:autoSpaceDE w:val="0"/>
        <w:autoSpaceDN w:val="0"/>
        <w:adjustRightInd w:val="0"/>
        <w:snapToGrid w:val="0"/>
        <w:spacing w:line="460" w:lineRule="exact"/>
        <w:ind w:firstLine="560" w:firstLineChars="200"/>
        <w:jc w:val="left"/>
        <w:rPr>
          <w:rFonts w:hint="eastAsia"/>
          <w:sz w:val="28"/>
          <w:szCs w:val="28"/>
          <w:lang w:val="en-US" w:eastAsia="zh-CN"/>
        </w:rPr>
      </w:pPr>
      <w:r>
        <w:rPr>
          <w:rFonts w:hint="eastAsia"/>
          <w:sz w:val="28"/>
          <w:szCs w:val="28"/>
          <w:lang w:val="en-US" w:eastAsia="zh-CN"/>
        </w:rPr>
        <w:t>8.付款方式：项目启动前支付70%作为首款，项目交付并验收后支付30%为尾款。</w:t>
      </w:r>
    </w:p>
    <w:p w14:paraId="243C0AA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3C6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Office_12.8.2.21549_F1E327BC-269C-435d-A152-05C5408002CA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2026-09-29T06:42:46Z</dcterms:created>
  <dc:creator>cszjc</dc:creator>
  <cp:lastModifiedBy>cszjc</cp:lastModifiedBy>
  <dcterms:modified xsi:type="dcterms:W3CDTF">2026-09-29T06:43:04Z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2052-12.8.2.21549</vt:lpwstr>
  </property>
  <property fmtid="{D5CDD505-2E9C-101B-9397-08002B2CF9AE}" pid="3" name="ICV">
    <vt:lpwstr>07BF5078B9A34E99A4C59AF60B73F6C8_12</vt:lpwstr>
  </property>
</Properties>
</file>