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8B4EC1">
      <w:pPr>
        <w:pStyle w:val="2"/>
      </w:pPr>
    </w:p>
    <w:p w14:paraId="6ED87D3A">
      <w:pPr>
        <w:rPr>
          <w:rFonts w:hint="default" w:ascii="Calibri" w:hAnsi="Calibri" w:eastAsiaTheme="minorEastAsia"/>
          <w:b/>
          <w:sz w:val="28"/>
          <w:szCs w:val="28"/>
          <w:lang w:val="en-US" w:eastAsia="zh-CN"/>
        </w:rPr>
      </w:pPr>
      <w:r>
        <w:rPr>
          <w:rFonts w:hint="eastAsia" w:ascii="Calibri" w:hAnsi="Calibri"/>
          <w:b/>
          <w:sz w:val="28"/>
          <w:szCs w:val="28"/>
        </w:rPr>
        <w:t>附件</w:t>
      </w:r>
      <w:r>
        <w:rPr>
          <w:rFonts w:hint="eastAsia" w:ascii="Calibri" w:hAnsi="Calibri"/>
          <w:b/>
          <w:sz w:val="28"/>
          <w:szCs w:val="28"/>
          <w:lang w:val="en-US" w:eastAsia="zh-CN"/>
        </w:rPr>
        <w:t>2</w:t>
      </w:r>
      <w:r>
        <w:rPr>
          <w:rFonts w:hint="eastAsia" w:ascii="Calibri" w:hAnsi="Calibri"/>
          <w:b/>
          <w:sz w:val="28"/>
          <w:szCs w:val="28"/>
        </w:rPr>
        <w:t>：</w:t>
      </w:r>
      <w:r>
        <w:rPr>
          <w:rFonts w:hint="eastAsia" w:ascii="Calibri" w:hAnsi="Calibri"/>
          <w:b/>
          <w:sz w:val="28"/>
          <w:szCs w:val="28"/>
          <w:lang w:val="en-US" w:eastAsia="zh-CN"/>
        </w:rPr>
        <w:t>综合评价评分标准</w:t>
      </w:r>
    </w:p>
    <w:tbl>
      <w:tblPr>
        <w:tblStyle w:val="5"/>
        <w:tblW w:w="885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7"/>
        <w:gridCol w:w="1253"/>
        <w:gridCol w:w="633"/>
        <w:gridCol w:w="6431"/>
      </w:tblGrid>
      <w:tr w14:paraId="7480ED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537" w:type="dxa"/>
          </w:tcPr>
          <w:p w14:paraId="79B2F20A">
            <w:pPr>
              <w:spacing w:before="191" w:line="231" w:lineRule="auto"/>
              <w:ind w:left="155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3"/>
                <w:sz w:val="24"/>
                <w:szCs w:val="24"/>
                <w14:textOutline w14:w="3797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序号</w:t>
            </w:r>
          </w:p>
        </w:tc>
        <w:tc>
          <w:tcPr>
            <w:tcW w:w="1253" w:type="dxa"/>
          </w:tcPr>
          <w:p w14:paraId="6A548733">
            <w:pPr>
              <w:spacing w:before="57" w:line="239" w:lineRule="auto"/>
              <w:ind w:left="287" w:right="170" w:hanging="109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7"/>
                <w:sz w:val="24"/>
                <w:szCs w:val="24"/>
                <w14:textOutline w14:w="3797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评分因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6"/>
                <w:sz w:val="24"/>
                <w:szCs w:val="24"/>
                <w14:textOutline w14:w="3797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素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5"/>
                <w:sz w:val="24"/>
                <w:szCs w:val="24"/>
                <w14:textOutline w14:w="3797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及权重</w:t>
            </w:r>
          </w:p>
        </w:tc>
        <w:tc>
          <w:tcPr>
            <w:tcW w:w="633" w:type="dxa"/>
          </w:tcPr>
          <w:p w14:paraId="2A79A79E">
            <w:pPr>
              <w:spacing w:before="191" w:line="232" w:lineRule="auto"/>
              <w:ind w:left="155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sz w:val="24"/>
                <w:szCs w:val="24"/>
                <w14:textOutline w14:w="3797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分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1"/>
                <w:sz w:val="24"/>
                <w:szCs w:val="24"/>
                <w14:textOutline w14:w="3797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值</w:t>
            </w:r>
          </w:p>
        </w:tc>
        <w:tc>
          <w:tcPr>
            <w:tcW w:w="6431" w:type="dxa"/>
          </w:tcPr>
          <w:p w14:paraId="3E928057">
            <w:pPr>
              <w:spacing w:before="191" w:line="231" w:lineRule="auto"/>
              <w:ind w:left="2493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7"/>
                <w:sz w:val="24"/>
                <w:szCs w:val="24"/>
                <w14:textOutline w14:w="3797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评分标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6"/>
                <w:sz w:val="24"/>
                <w:szCs w:val="24"/>
                <w14:textOutline w14:w="3797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准</w:t>
            </w:r>
          </w:p>
        </w:tc>
      </w:tr>
      <w:tr w14:paraId="4AD115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2" w:hRule="atLeast"/>
        </w:trPr>
        <w:tc>
          <w:tcPr>
            <w:tcW w:w="537" w:type="dxa"/>
          </w:tcPr>
          <w:p w14:paraId="56EE3B43">
            <w:pPr>
              <w:spacing w:line="270" w:lineRule="auto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</w:p>
          <w:p w14:paraId="47DB50D5">
            <w:pPr>
              <w:spacing w:line="270" w:lineRule="auto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</w:p>
          <w:p w14:paraId="08E94DD9">
            <w:pPr>
              <w:spacing w:line="270" w:lineRule="auto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</w:p>
          <w:p w14:paraId="0EABE5AC">
            <w:pPr>
              <w:spacing w:before="65" w:line="187" w:lineRule="auto"/>
              <w:ind w:left="320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3" w:type="dxa"/>
          </w:tcPr>
          <w:p w14:paraId="495EE592">
            <w:pPr>
              <w:spacing w:line="258" w:lineRule="auto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</w:p>
          <w:p w14:paraId="0DDDC19B">
            <w:pPr>
              <w:spacing w:line="258" w:lineRule="auto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</w:p>
          <w:p w14:paraId="75469462">
            <w:pPr>
              <w:spacing w:line="259" w:lineRule="auto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</w:p>
          <w:p w14:paraId="7A5B3A48">
            <w:pPr>
              <w:spacing w:before="65" w:line="231" w:lineRule="auto"/>
              <w:ind w:left="117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6"/>
                <w:sz w:val="24"/>
                <w:szCs w:val="24"/>
              </w:rPr>
              <w:t>报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sz w:val="24"/>
                <w:szCs w:val="24"/>
              </w:rPr>
              <w:t>价20%</w:t>
            </w:r>
          </w:p>
        </w:tc>
        <w:tc>
          <w:tcPr>
            <w:tcW w:w="633" w:type="dxa"/>
          </w:tcPr>
          <w:p w14:paraId="0BBDFDF4">
            <w:pPr>
              <w:spacing w:line="258" w:lineRule="auto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</w:p>
          <w:p w14:paraId="0E821D7C">
            <w:pPr>
              <w:spacing w:line="258" w:lineRule="auto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</w:p>
          <w:p w14:paraId="6A225BA1">
            <w:pPr>
              <w:spacing w:line="259" w:lineRule="auto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</w:p>
          <w:p w14:paraId="736BF7D3">
            <w:pPr>
              <w:spacing w:before="65" w:line="232" w:lineRule="auto"/>
              <w:ind w:left="113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9"/>
                <w:sz w:val="24"/>
                <w:szCs w:val="24"/>
              </w:rPr>
              <w:t>2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7"/>
                <w:sz w:val="24"/>
                <w:szCs w:val="24"/>
              </w:rPr>
              <w:t>0分</w:t>
            </w:r>
          </w:p>
        </w:tc>
        <w:tc>
          <w:tcPr>
            <w:tcW w:w="6431" w:type="dxa"/>
          </w:tcPr>
          <w:p w14:paraId="696A7DF0">
            <w:pPr>
              <w:spacing w:before="30" w:line="377" w:lineRule="auto"/>
              <w:ind w:left="119" w:right="74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4"/>
                <w:sz w:val="24"/>
                <w:szCs w:val="24"/>
              </w:rPr>
              <w:t>满足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10"/>
                <w:sz w:val="24"/>
                <w:szCs w:val="24"/>
              </w:rPr>
              <w:t>磋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7"/>
                <w:sz w:val="24"/>
                <w:szCs w:val="24"/>
              </w:rPr>
              <w:t>商文件要求且响应价格最低的响应报价为评标基准价，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28"/>
                <w:sz w:val="24"/>
                <w:szCs w:val="24"/>
              </w:rPr>
              <w:t>其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14"/>
                <w:sz w:val="24"/>
                <w:szCs w:val="24"/>
              </w:rPr>
              <w:t>价格分为满分。其他供应商的价格分统一按照下列公式计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4"/>
                <w:sz w:val="24"/>
                <w:szCs w:val="24"/>
              </w:rPr>
              <w:t>算：磋商响应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3"/>
                <w:sz w:val="24"/>
                <w:szCs w:val="24"/>
              </w:rPr>
              <w:t>报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sz w:val="24"/>
                <w:szCs w:val="24"/>
              </w:rPr>
              <w:t>价得分=(评标基准价／最终报价)×20%×100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12"/>
                <w:sz w:val="24"/>
                <w:szCs w:val="24"/>
              </w:rPr>
              <w:t>注：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10"/>
                <w:sz w:val="24"/>
                <w:szCs w:val="24"/>
              </w:rPr>
              <w:t>政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6"/>
                <w:sz w:val="24"/>
                <w:szCs w:val="24"/>
              </w:rPr>
              <w:t>策性鼓励与惩戒按照本磋商文件供应商须知附表规定执</w:t>
            </w:r>
          </w:p>
          <w:p w14:paraId="5AE98545">
            <w:pPr>
              <w:spacing w:line="229" w:lineRule="auto"/>
              <w:ind w:left="121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sz w:val="24"/>
                <w:szCs w:val="24"/>
              </w:rPr>
              <w:t>行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sz w:val="24"/>
                <w:szCs w:val="24"/>
              </w:rPr>
              <w:t>。</w:t>
            </w:r>
          </w:p>
        </w:tc>
      </w:tr>
      <w:tr w14:paraId="7D8BF9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6" w:hRule="atLeast"/>
        </w:trPr>
        <w:tc>
          <w:tcPr>
            <w:tcW w:w="537" w:type="dxa"/>
          </w:tcPr>
          <w:p w14:paraId="2EBEC5E1">
            <w:pPr>
              <w:spacing w:line="306" w:lineRule="auto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</w:p>
          <w:p w14:paraId="2140E714">
            <w:pPr>
              <w:spacing w:line="306" w:lineRule="auto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</w:p>
          <w:p w14:paraId="2DF45BF7">
            <w:pPr>
              <w:spacing w:before="65" w:line="186" w:lineRule="auto"/>
              <w:ind w:left="307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53" w:type="dxa"/>
          </w:tcPr>
          <w:p w14:paraId="33F65DE6">
            <w:pPr>
              <w:spacing w:before="236" w:line="231" w:lineRule="auto"/>
              <w:ind w:left="180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8"/>
                <w:sz w:val="24"/>
                <w:szCs w:val="24"/>
              </w:rPr>
              <w:t>技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5"/>
                <w:sz w:val="24"/>
                <w:szCs w:val="24"/>
              </w:rPr>
              <w:t>术要求</w:t>
            </w:r>
          </w:p>
          <w:p w14:paraId="3132E04A">
            <w:pPr>
              <w:spacing w:before="157" w:line="231" w:lineRule="auto"/>
              <w:ind w:left="186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5"/>
                <w:sz w:val="24"/>
                <w:szCs w:val="24"/>
              </w:rPr>
              <w:t>响应情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4"/>
                <w:sz w:val="24"/>
                <w:szCs w:val="24"/>
              </w:rPr>
              <w:t>况</w:t>
            </w:r>
          </w:p>
          <w:p w14:paraId="3481EDD0">
            <w:pPr>
              <w:spacing w:before="157" w:line="271" w:lineRule="exact"/>
              <w:ind w:left="438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position w:val="1"/>
                <w:sz w:val="24"/>
                <w:szCs w:val="24"/>
              </w:rPr>
              <w:t>3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1"/>
                <w:position w:val="1"/>
                <w:sz w:val="24"/>
                <w:szCs w:val="24"/>
              </w:rPr>
              <w:t>0%</w:t>
            </w:r>
          </w:p>
        </w:tc>
        <w:tc>
          <w:tcPr>
            <w:tcW w:w="633" w:type="dxa"/>
          </w:tcPr>
          <w:p w14:paraId="60B31F54">
            <w:pPr>
              <w:spacing w:line="288" w:lineRule="auto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</w:p>
          <w:p w14:paraId="0BCA7AC0">
            <w:pPr>
              <w:spacing w:line="288" w:lineRule="auto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</w:p>
          <w:p w14:paraId="746C2B2A">
            <w:pPr>
              <w:spacing w:before="65" w:line="232" w:lineRule="auto"/>
              <w:ind w:left="126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10"/>
                <w:sz w:val="24"/>
                <w:szCs w:val="24"/>
              </w:rPr>
              <w:t>3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8"/>
                <w:sz w:val="24"/>
                <w:szCs w:val="24"/>
              </w:rPr>
              <w:t>0分</w:t>
            </w:r>
          </w:p>
        </w:tc>
        <w:tc>
          <w:tcPr>
            <w:tcW w:w="6431" w:type="dxa"/>
          </w:tcPr>
          <w:p w14:paraId="60F5737E">
            <w:pPr>
              <w:spacing w:before="32" w:line="377" w:lineRule="auto"/>
              <w:ind w:left="127" w:right="132" w:hanging="4"/>
              <w:rPr>
                <w:rFonts w:ascii="宋体" w:hAnsi="宋体" w:eastAsia="宋体" w:cs="宋体"/>
                <w:snapToGrid w:val="0"/>
                <w:color w:val="000000"/>
                <w:spacing w:val="8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5"/>
                <w:sz w:val="24"/>
                <w:szCs w:val="24"/>
              </w:rPr>
              <w:t>完全满足文件技术要求及服务等所有内容得30分，有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5"/>
                <w:sz w:val="24"/>
                <w:szCs w:val="24"/>
              </w:rPr>
              <w:t>1项缺失或者1项不完全满足扣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5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5"/>
                <w:sz w:val="24"/>
                <w:szCs w:val="24"/>
              </w:rPr>
              <w:t>分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8"/>
                <w:sz w:val="24"/>
                <w:szCs w:val="24"/>
              </w:rPr>
              <w:t>，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8"/>
                <w:sz w:val="24"/>
                <w:szCs w:val="24"/>
                <w:lang w:val="en-US" w:eastAsia="zh-CN"/>
              </w:rPr>
              <w:t>扣完为止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8"/>
                <w:sz w:val="24"/>
                <w:szCs w:val="24"/>
              </w:rPr>
              <w:t>。</w:t>
            </w:r>
          </w:p>
          <w:p w14:paraId="3C41D11A">
            <w:pPr>
              <w:spacing w:line="408" w:lineRule="exact"/>
              <w:ind w:left="123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8"/>
                <w:sz w:val="24"/>
                <w:szCs w:val="24"/>
              </w:rPr>
              <w:t>(明确要求提供相关技术要求完整截图材料的需提供截图材料，不提供不得分)</w:t>
            </w:r>
          </w:p>
        </w:tc>
      </w:tr>
      <w:tr w14:paraId="695F99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6" w:hRule="atLeast"/>
        </w:trPr>
        <w:tc>
          <w:tcPr>
            <w:tcW w:w="537" w:type="dxa"/>
            <w:vAlign w:val="center"/>
          </w:tcPr>
          <w:p w14:paraId="4E45C183">
            <w:pPr>
              <w:spacing w:before="65" w:line="186" w:lineRule="auto"/>
              <w:jc w:val="center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3" w:type="dxa"/>
            <w:vAlign w:val="center"/>
          </w:tcPr>
          <w:p w14:paraId="00774C6C">
            <w:pPr>
              <w:spacing w:before="65" w:line="394" w:lineRule="auto"/>
              <w:ind w:right="170"/>
              <w:jc w:val="center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5"/>
                <w:sz w:val="24"/>
                <w:szCs w:val="24"/>
                <w:lang w:val="en-US" w:eastAsia="zh-CN"/>
              </w:rPr>
              <w:t>实施方案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2"/>
                <w:sz w:val="24"/>
                <w:szCs w:val="24"/>
              </w:rPr>
              <w:t>%</w:t>
            </w:r>
          </w:p>
        </w:tc>
        <w:tc>
          <w:tcPr>
            <w:tcW w:w="633" w:type="dxa"/>
            <w:vAlign w:val="center"/>
          </w:tcPr>
          <w:p w14:paraId="4AFA4CE5">
            <w:pPr>
              <w:spacing w:before="65" w:line="232" w:lineRule="auto"/>
              <w:jc w:val="center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13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10"/>
                <w:sz w:val="24"/>
                <w:szCs w:val="24"/>
              </w:rPr>
              <w:t>分</w:t>
            </w:r>
          </w:p>
        </w:tc>
        <w:tc>
          <w:tcPr>
            <w:tcW w:w="6431" w:type="dxa"/>
          </w:tcPr>
          <w:p w14:paraId="471F38BF">
            <w:pPr>
              <w:spacing w:before="2" w:line="376" w:lineRule="auto"/>
              <w:ind w:left="124" w:right="103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8"/>
                <w:sz w:val="24"/>
                <w:szCs w:val="24"/>
              </w:rPr>
              <w:t>对供应商提供的针对本项目的服务方案进行综合评审，方案包括但不限于：1.整体实施方案可操作性强；2.项目进度、各阶段成果产出安排合理；3.各方协调预案完整性和可行性；4.人员部署（投标人应提供项目团队人员资历情况、项目经理履历、项目团队人员安排情况）；5.项目质量保证措施；6.项目重难点分析；7.预期成果。完全满足项目要求的得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8"/>
                <w:sz w:val="24"/>
                <w:szCs w:val="24"/>
                <w:lang w:val="en-US" w:eastAsia="zh-CN"/>
              </w:rPr>
              <w:t>18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8"/>
                <w:sz w:val="24"/>
                <w:szCs w:val="24"/>
              </w:rPr>
              <w:t>分，每缺少一项内容或每有一项内容不满足要求的扣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8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8"/>
                <w:sz w:val="24"/>
                <w:szCs w:val="24"/>
              </w:rPr>
              <w:t>分，每有一处方案内容存在缺陷或不足的扣3分，扣完为止。（内容缺陷或不足是指：①非专门针对本项目或不适用项目特性的情形②内容不完整或缺少关键节点③套用其他项目方案④内容前后矛盾⑤涉及的规范及标准错误等任意一种情形）</w:t>
            </w:r>
          </w:p>
        </w:tc>
      </w:tr>
      <w:tr w14:paraId="1BD5A8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</w:trPr>
        <w:tc>
          <w:tcPr>
            <w:tcW w:w="537" w:type="dxa"/>
          </w:tcPr>
          <w:p w14:paraId="32A8F56F">
            <w:pPr>
              <w:spacing w:line="272" w:lineRule="auto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</w:p>
          <w:p w14:paraId="286A470F">
            <w:pPr>
              <w:spacing w:line="272" w:lineRule="auto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</w:p>
          <w:p w14:paraId="32A5DA2C">
            <w:pPr>
              <w:spacing w:line="272" w:lineRule="auto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</w:p>
          <w:p w14:paraId="4C7E4F1D">
            <w:pPr>
              <w:spacing w:before="65" w:line="186" w:lineRule="auto"/>
              <w:ind w:left="303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53" w:type="dxa"/>
            <w:vAlign w:val="center"/>
          </w:tcPr>
          <w:p w14:paraId="7868B4EA">
            <w:pPr>
              <w:spacing w:before="65" w:line="394" w:lineRule="auto"/>
              <w:ind w:right="170"/>
              <w:jc w:val="center"/>
              <w:rPr>
                <w:rFonts w:hint="default" w:ascii="宋体" w:hAnsi="宋体" w:eastAsia="宋体" w:cs="宋体"/>
                <w:snapToGrid w:val="0"/>
                <w:color w:val="000000"/>
                <w:spacing w:val="5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7"/>
                <w:sz w:val="24"/>
                <w:szCs w:val="24"/>
              </w:rPr>
              <w:t>履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5"/>
                <w:sz w:val="24"/>
                <w:szCs w:val="24"/>
              </w:rPr>
              <w:t>约能力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5"/>
                <w:sz w:val="24"/>
                <w:szCs w:val="24"/>
                <w:lang w:val="en-US" w:eastAsia="zh-CN"/>
              </w:rPr>
              <w:t>和公司实力</w:t>
            </w:r>
          </w:p>
          <w:p w14:paraId="7606A5F8">
            <w:pPr>
              <w:spacing w:before="65" w:line="394" w:lineRule="auto"/>
              <w:ind w:right="170"/>
              <w:jc w:val="center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2"/>
                <w:sz w:val="24"/>
                <w:szCs w:val="24"/>
              </w:rPr>
              <w:t>%</w:t>
            </w:r>
          </w:p>
        </w:tc>
        <w:tc>
          <w:tcPr>
            <w:tcW w:w="633" w:type="dxa"/>
          </w:tcPr>
          <w:p w14:paraId="7810313C">
            <w:pPr>
              <w:spacing w:line="260" w:lineRule="auto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</w:p>
          <w:p w14:paraId="1953ACE0">
            <w:pPr>
              <w:spacing w:line="260" w:lineRule="auto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</w:p>
          <w:p w14:paraId="5360CA1E">
            <w:pPr>
              <w:spacing w:line="260" w:lineRule="auto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</w:p>
          <w:p w14:paraId="22CC6B8D">
            <w:pPr>
              <w:spacing w:before="65" w:line="232" w:lineRule="auto"/>
              <w:ind w:left="125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13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10"/>
                <w:sz w:val="24"/>
                <w:szCs w:val="24"/>
              </w:rPr>
              <w:t>分</w:t>
            </w:r>
          </w:p>
        </w:tc>
        <w:tc>
          <w:tcPr>
            <w:tcW w:w="6431" w:type="dxa"/>
          </w:tcPr>
          <w:p w14:paraId="36A01896">
            <w:pPr>
              <w:spacing w:before="2" w:line="376" w:lineRule="auto"/>
              <w:ind w:left="124" w:right="103"/>
              <w:rPr>
                <w:rFonts w:hint="eastAsia" w:ascii="宋体" w:hAnsi="宋体" w:eastAsia="宋体" w:cs="宋体"/>
                <w:snapToGrid w:val="0"/>
                <w:color w:val="000000"/>
                <w:spacing w:val="6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8"/>
                <w:sz w:val="24"/>
                <w:szCs w:val="24"/>
              </w:rPr>
              <w:t>1．供应商应就调查项目的过程和结果如何进行提供详细方案（总体设计、调研技术支持、数据清洗、统计分析、后台监控系统、报告撰写）。最高得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8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8"/>
                <w:sz w:val="24"/>
                <w:szCs w:val="24"/>
              </w:rPr>
              <w:t>分，每有一项缺陷或不足扣1分，扣完为止。注：内容缺陷或不足是指： ①非专门针对本项目或不适用项目特性的情形②内容不完整或缺少关键节点③套用其他项目方案④内容前后矛盾⑤涉及的规范及标准错误等任意一种情形。）</w:t>
            </w:r>
          </w:p>
          <w:p w14:paraId="1C75D9E7">
            <w:pPr>
              <w:spacing w:line="600" w:lineRule="exact"/>
              <w:rPr>
                <w:rFonts w:hint="eastAsia" w:ascii="宋体" w:hAnsi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6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snapToGrid w:val="0"/>
                <w:color w:val="000000"/>
                <w:sz w:val="24"/>
                <w:szCs w:val="24"/>
              </w:rPr>
              <w:t>拟派项目负责人</w:t>
            </w:r>
            <w:r>
              <w:rPr>
                <w:rFonts w:hint="eastAsia" w:ascii="宋体" w:hAnsi="宋体" w:cs="宋体"/>
                <w:snapToGrid w:val="0"/>
                <w:color w:val="000000"/>
                <w:sz w:val="24"/>
                <w:szCs w:val="24"/>
                <w:lang w:val="en-US" w:eastAsia="zh-CN"/>
              </w:rPr>
              <w:t>员中</w:t>
            </w:r>
            <w:r>
              <w:rPr>
                <w:rFonts w:hint="eastAsia" w:ascii="宋体" w:hAnsi="宋体" w:cs="宋体"/>
                <w:snapToGrid w:val="0"/>
                <w:color w:val="000000"/>
                <w:sz w:val="24"/>
                <w:szCs w:val="24"/>
              </w:rPr>
              <w:t>具有国内高校工作经验得</w:t>
            </w:r>
            <w:r>
              <w:rPr>
                <w:rFonts w:hint="eastAsia" w:ascii="宋体" w:hAnsi="宋体" w:cs="宋体"/>
                <w:snapToGrid w:val="0"/>
                <w:color w:val="00000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snapToGrid w:val="0"/>
                <w:color w:val="000000"/>
                <w:sz w:val="24"/>
                <w:szCs w:val="24"/>
              </w:rPr>
              <w:t>分；具有博士学历，得</w:t>
            </w:r>
            <w:r>
              <w:rPr>
                <w:rFonts w:hint="eastAsia" w:ascii="宋体" w:hAnsi="宋体" w:cs="宋体"/>
                <w:snapToGrid w:val="0"/>
                <w:color w:val="00000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snapToGrid w:val="0"/>
                <w:color w:val="000000"/>
                <w:sz w:val="24"/>
                <w:szCs w:val="24"/>
              </w:rPr>
              <w:t>分；在全国核心期刊发表过高等教育研究相关的论文，得</w:t>
            </w:r>
            <w:r>
              <w:rPr>
                <w:rFonts w:hint="eastAsia" w:ascii="宋体" w:hAnsi="宋体" w:cs="宋体"/>
                <w:snapToGrid w:val="0"/>
                <w:color w:val="00000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snapToGrid w:val="0"/>
                <w:color w:val="000000"/>
                <w:sz w:val="24"/>
                <w:szCs w:val="24"/>
              </w:rPr>
              <w:t>分；本项最高得</w:t>
            </w:r>
            <w:r>
              <w:rPr>
                <w:rFonts w:hint="eastAsia" w:ascii="宋体" w:hAnsi="宋体" w:cs="宋体"/>
                <w:snapToGrid w:val="0"/>
                <w:color w:val="00000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snapToGrid w:val="0"/>
                <w:color w:val="000000"/>
                <w:sz w:val="24"/>
                <w:szCs w:val="24"/>
              </w:rPr>
              <w:t>分。</w:t>
            </w:r>
          </w:p>
          <w:p w14:paraId="1ADA1203">
            <w:pPr>
              <w:spacing w:line="600" w:lineRule="exact"/>
              <w:rPr>
                <w:rFonts w:ascii="宋体" w:hAnsi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snapToGrid w:val="0"/>
                <w:color w:val="00000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snapToGrid w:val="0"/>
                <w:color w:val="000000"/>
                <w:sz w:val="24"/>
                <w:szCs w:val="24"/>
              </w:rPr>
              <w:t>供应商具有</w:t>
            </w:r>
            <w:r>
              <w:rPr>
                <w:rFonts w:hint="eastAsia" w:ascii="宋体" w:hAnsi="宋体" w:cs="宋体"/>
                <w:snapToGrid w:val="0"/>
                <w:color w:val="000000"/>
                <w:sz w:val="24"/>
                <w:szCs w:val="24"/>
                <w:lang w:val="en-US" w:eastAsia="zh-CN"/>
              </w:rPr>
              <w:t>全国高校毕业生就业质量相关公开出版物，有一个得1分，最高</w:t>
            </w:r>
            <w:r>
              <w:rPr>
                <w:rFonts w:hint="eastAsia" w:ascii="宋体" w:hAnsi="宋体" w:cs="宋体"/>
                <w:snapToGrid w:val="0"/>
                <w:color w:val="000000"/>
                <w:sz w:val="24"/>
                <w:szCs w:val="24"/>
              </w:rPr>
              <w:t>得</w:t>
            </w:r>
            <w:r>
              <w:rPr>
                <w:rFonts w:hint="eastAsia" w:ascii="宋体" w:hAnsi="宋体" w:cs="宋体"/>
                <w:snapToGrid w:val="0"/>
                <w:color w:val="00000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snapToGrid w:val="0"/>
                <w:color w:val="000000"/>
                <w:sz w:val="24"/>
                <w:szCs w:val="24"/>
              </w:rPr>
              <w:t>分。</w:t>
            </w:r>
          </w:p>
          <w:p w14:paraId="7E5D7289">
            <w:pPr>
              <w:spacing w:before="32" w:line="377" w:lineRule="auto"/>
              <w:ind w:left="112" w:right="103" w:firstLine="16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24"/>
                <w:szCs w:val="24"/>
              </w:rPr>
              <w:t>（说明：包括相关人员有效证书</w:t>
            </w:r>
            <w:r>
              <w:rPr>
                <w:rFonts w:hint="eastAsia" w:ascii="宋体" w:hAnsi="宋体" w:cs="宋体"/>
                <w:snapToGrid w:val="0"/>
                <w:color w:val="000000"/>
                <w:sz w:val="24"/>
                <w:szCs w:val="24"/>
                <w:lang w:val="en-US" w:eastAsia="zh-CN"/>
              </w:rPr>
              <w:t>和社保</w:t>
            </w:r>
            <w:r>
              <w:rPr>
                <w:rFonts w:hint="eastAsia" w:ascii="宋体" w:hAnsi="宋体" w:cs="宋体"/>
                <w:snapToGrid w:val="0"/>
                <w:color w:val="000000"/>
                <w:sz w:val="24"/>
                <w:szCs w:val="24"/>
              </w:rPr>
              <w:t>证明材料复印件</w:t>
            </w:r>
            <w:r>
              <w:rPr>
                <w:rFonts w:hint="eastAsia" w:ascii="宋体" w:hAnsi="宋体" w:cs="宋体"/>
                <w:snapToGrid w:val="0"/>
                <w:color w:val="00000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cs="宋体"/>
                <w:snapToGrid w:val="0"/>
                <w:color w:val="000000"/>
                <w:sz w:val="24"/>
                <w:szCs w:val="24"/>
                <w:lang w:val="en-US" w:eastAsia="zh-CN"/>
              </w:rPr>
              <w:t>以及出版物书号和相关证明材料，不提供不得分</w:t>
            </w:r>
            <w:r>
              <w:rPr>
                <w:rFonts w:hint="eastAsia" w:ascii="宋体" w:hAnsi="宋体" w:cs="宋体"/>
                <w:snapToGrid w:val="0"/>
                <w:color w:val="000000"/>
                <w:sz w:val="24"/>
                <w:szCs w:val="24"/>
              </w:rPr>
              <w:t>。）</w:t>
            </w:r>
          </w:p>
        </w:tc>
      </w:tr>
      <w:tr w14:paraId="355D87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7" w:hRule="atLeast"/>
        </w:trPr>
        <w:tc>
          <w:tcPr>
            <w:tcW w:w="537" w:type="dxa"/>
            <w:vAlign w:val="center"/>
          </w:tcPr>
          <w:p w14:paraId="72140E60">
            <w:pPr>
              <w:spacing w:before="65" w:line="184" w:lineRule="auto"/>
              <w:jc w:val="center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3" w:type="dxa"/>
            <w:vAlign w:val="center"/>
          </w:tcPr>
          <w:p w14:paraId="5377511B">
            <w:pPr>
              <w:spacing w:before="65" w:line="232" w:lineRule="auto"/>
              <w:ind w:left="205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6"/>
                <w:sz w:val="24"/>
                <w:szCs w:val="24"/>
              </w:rPr>
              <w:t>业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sz w:val="24"/>
                <w:szCs w:val="24"/>
              </w:rPr>
              <w:t>绩</w:t>
            </w:r>
          </w:p>
          <w:p w14:paraId="1F77D6DF">
            <w:pPr>
              <w:spacing w:before="65" w:line="232" w:lineRule="auto"/>
              <w:ind w:left="205"/>
              <w:jc w:val="center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sz w:val="24"/>
                <w:szCs w:val="24"/>
              </w:rPr>
              <w:t>%</w:t>
            </w:r>
          </w:p>
        </w:tc>
        <w:tc>
          <w:tcPr>
            <w:tcW w:w="633" w:type="dxa"/>
            <w:vAlign w:val="center"/>
          </w:tcPr>
          <w:p w14:paraId="2C319BBC">
            <w:pPr>
              <w:spacing w:before="65" w:line="232" w:lineRule="auto"/>
              <w:ind w:left="137"/>
              <w:jc w:val="center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11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11"/>
                <w:sz w:val="24"/>
                <w:szCs w:val="24"/>
              </w:rPr>
              <w:t>分</w:t>
            </w:r>
          </w:p>
        </w:tc>
        <w:tc>
          <w:tcPr>
            <w:tcW w:w="6431" w:type="dxa"/>
          </w:tcPr>
          <w:p w14:paraId="0F993EF8">
            <w:pPr>
              <w:spacing w:before="65" w:line="384" w:lineRule="auto"/>
              <w:ind w:left="121" w:right="45"/>
              <w:rPr>
                <w:rFonts w:hint="eastAsia" w:ascii="宋体" w:hAnsi="宋体" w:eastAsia="宋体" w:cs="宋体"/>
                <w:snapToGrid w:val="0"/>
                <w:color w:val="000000"/>
                <w:spacing w:val="-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5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5"/>
                <w:sz w:val="24"/>
                <w:szCs w:val="24"/>
              </w:rPr>
              <w:t>提供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5"/>
                <w:sz w:val="24"/>
                <w:szCs w:val="24"/>
                <w:lang w:val="en-US" w:eastAsia="zh-CN"/>
              </w:rPr>
              <w:t>近三年就业质量跟踪调查报告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5"/>
                <w:sz w:val="24"/>
                <w:szCs w:val="24"/>
              </w:rPr>
              <w:t>项目，每提供1个得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5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5"/>
                <w:sz w:val="24"/>
                <w:szCs w:val="24"/>
              </w:rPr>
              <w:t>分，满分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5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5"/>
                <w:sz w:val="24"/>
                <w:szCs w:val="24"/>
              </w:rPr>
              <w:t>分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1"/>
                <w:sz w:val="24"/>
                <w:szCs w:val="24"/>
              </w:rPr>
              <w:t>，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11"/>
                <w:sz w:val="24"/>
                <w:szCs w:val="24"/>
              </w:rPr>
              <w:t>提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6"/>
                <w:sz w:val="24"/>
                <w:szCs w:val="24"/>
              </w:rPr>
              <w:t>供合同复印件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6"/>
                <w:sz w:val="24"/>
                <w:szCs w:val="24"/>
                <w:lang w:val="en-US" w:eastAsia="zh-CN"/>
              </w:rPr>
              <w:t>加盖鲜章。</w:t>
            </w:r>
          </w:p>
          <w:p w14:paraId="6B468C8B">
            <w:pPr>
              <w:spacing w:before="65" w:line="384" w:lineRule="auto"/>
              <w:ind w:left="121" w:right="45"/>
              <w:rPr>
                <w:rFonts w:ascii="宋体" w:hAnsi="宋体" w:eastAsia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1"/>
                <w:sz w:val="24"/>
                <w:szCs w:val="24"/>
                <w:lang w:val="en-US" w:eastAsia="zh-CN"/>
              </w:rPr>
              <w:t>2提供近三年供需适配相关合作案例，每提供一个的1分，满分5分，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11"/>
                <w:sz w:val="24"/>
                <w:szCs w:val="24"/>
              </w:rPr>
              <w:t>提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6"/>
                <w:sz w:val="24"/>
                <w:szCs w:val="24"/>
              </w:rPr>
              <w:t>供合同复印件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6"/>
                <w:sz w:val="24"/>
                <w:szCs w:val="24"/>
                <w:lang w:val="en-US" w:eastAsia="zh-CN"/>
              </w:rPr>
              <w:t>加盖鲜章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6"/>
                <w:sz w:val="24"/>
                <w:szCs w:val="24"/>
              </w:rPr>
              <w:t>。</w:t>
            </w:r>
          </w:p>
        </w:tc>
      </w:tr>
    </w:tbl>
    <w:p w14:paraId="68325ACD"/>
    <w:p w14:paraId="6D123B39">
      <w:pPr>
        <w:widowControl/>
        <w:spacing w:line="520" w:lineRule="exact"/>
        <w:ind w:firstLine="880" w:firstLineChars="200"/>
        <w:jc w:val="center"/>
        <w:rPr>
          <w:rFonts w:ascii="黑体" w:hAnsi="黑体" w:eastAsia="黑体"/>
          <w:sz w:val="44"/>
          <w:szCs w:val="44"/>
        </w:rPr>
      </w:pPr>
    </w:p>
    <w:p w14:paraId="56118E4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091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99"/>
    <w:pPr>
      <w:spacing w:after="120"/>
    </w:pPr>
  </w:style>
  <w:style w:type="table" w:customStyle="1" w:styleId="5">
    <w:name w:val="Table Normal"/>
    <w:semiHidden/>
    <w:unhideWhenUsed/>
    <w:qFormat/>
    <w:uiPriority w:val="0"/>
    <w:rPr>
      <w:rFonts w:ascii="Arial" w:hAnsi="Arial" w:cs="Arial" w:eastAsiaTheme="minorEastAsia"/>
      <w:snapToGrid w:val="0"/>
      <w:color w:val="000000"/>
      <w:sz w:val="21"/>
      <w:szCs w:val="21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2026-09-29T06:43:18Z</dcterms:created>
  <dc:creator>cszjc</dc:creator>
  <cp:lastModifiedBy>cszjc</cp:lastModifiedBy>
  <dcterms:modified xsi:type="dcterms:W3CDTF">2026-09-29T06:43:32Z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2052-12.8.2.21549</vt:lpwstr>
  </property>
  <property fmtid="{D5CDD505-2E9C-101B-9397-08002B2CF9AE}" pid="3" name="ICV">
    <vt:lpwstr>8350DD3FDF584DC69D2946DCA5B99971_12</vt:lpwstr>
  </property>
</Properties>
</file>